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CA9C6" w14:textId="77777777" w:rsidR="00085A6C" w:rsidRPr="001B2141" w:rsidRDefault="00085A6C" w:rsidP="00085A6C">
      <w:pPr>
        <w:spacing w:line="240" w:lineRule="auto"/>
        <w:rPr>
          <w:rFonts w:ascii="Times New Roman" w:eastAsia="Times New Roman" w:hAnsi="Times New Roman" w:cs="Times New Roman" w:hint="eastAsia"/>
          <w:kern w:val="0"/>
          <w:sz w:val="21"/>
          <w:szCs w:val="21"/>
          <w:lang w:val="en-GB" w:eastAsia="ko-Kore-KR"/>
        </w:rPr>
      </w:pPr>
      <w:r w:rsidRPr="001B2141">
        <w:rPr>
          <w:rFonts w:ascii="Times New Roman" w:eastAsia="Times New Roman" w:hAnsi="Times New Roman" w:cs="Times New Roman"/>
          <w:kern w:val="0"/>
          <w:sz w:val="21"/>
          <w:szCs w:val="21"/>
          <w:lang w:val="en-GB" w:eastAsia="ko-Kore-KR"/>
        </w:rPr>
        <w:t xml:space="preserve">Supplement </w:t>
      </w:r>
      <w:r w:rsidRPr="001B2141">
        <w:rPr>
          <w:rFonts w:ascii="Times New Roman" w:eastAsia="Times New Roman" w:hAnsi="Times New Roman" w:cs="Times New Roman" w:hint="eastAsia"/>
          <w:kern w:val="0"/>
          <w:sz w:val="21"/>
          <w:szCs w:val="21"/>
          <w:lang w:val="en-GB" w:eastAsia="ko-Kore-KR"/>
        </w:rPr>
        <w:t>T</w:t>
      </w:r>
      <w:r w:rsidRPr="001B2141">
        <w:rPr>
          <w:rFonts w:ascii="Times New Roman" w:eastAsia="Times New Roman" w:hAnsi="Times New Roman" w:cs="Times New Roman"/>
          <w:kern w:val="0"/>
          <w:sz w:val="21"/>
          <w:szCs w:val="21"/>
          <w:lang w:val="en-GB" w:eastAsia="ko-Kore-KR"/>
        </w:rPr>
        <w:t>able 1. Identified microorganisms in the study patients who had positive blood culture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9"/>
        <w:gridCol w:w="1980"/>
        <w:gridCol w:w="1980"/>
        <w:gridCol w:w="1980"/>
      </w:tblGrid>
      <w:tr w:rsidR="00085A6C" w:rsidRPr="00394C1C" w14:paraId="7643D752" w14:textId="77777777" w:rsidTr="00170997">
        <w:trPr>
          <w:trHeight w:val="380"/>
        </w:trPr>
        <w:tc>
          <w:tcPr>
            <w:tcW w:w="2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959F209" w14:textId="77777777" w:rsidR="00085A6C" w:rsidRPr="00394C1C" w:rsidRDefault="00085A6C" w:rsidP="00170997">
            <w:pPr>
              <w:snapToGrid w:val="0"/>
              <w:spacing w:line="240" w:lineRule="auto"/>
              <w:contextualSpacing/>
              <w:rPr>
                <w:bCs/>
                <w:sz w:val="21"/>
                <w:szCs w:val="21"/>
                <w:lang w:val="en-GB"/>
              </w:rPr>
            </w:pPr>
            <w:r w:rsidRPr="001B2141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val="en-GB" w:eastAsia="ko-Kore-KR"/>
              </w:rPr>
              <w:t>Identified microorganism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A72CB1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Overall (n=62)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6A71F2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CDSS group (n=39)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A21D1E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Control group (n=23)</w:t>
            </w:r>
          </w:p>
        </w:tc>
      </w:tr>
      <w:tr w:rsidR="00085A6C" w:rsidRPr="00394C1C" w14:paraId="5336B92F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23A8534F" w14:textId="77777777" w:rsidR="00085A6C" w:rsidRPr="00394C1C" w:rsidRDefault="00085A6C" w:rsidP="00170997">
            <w:pPr>
              <w:snapToGrid w:val="0"/>
              <w:spacing w:line="240" w:lineRule="auto"/>
              <w:contextualSpacing/>
              <w:rPr>
                <w:bCs/>
                <w:sz w:val="21"/>
                <w:szCs w:val="21"/>
                <w:lang w:val="en-GB"/>
              </w:rPr>
            </w:pPr>
            <w:r w:rsidRPr="001F0581">
              <w:rPr>
                <w:rFonts w:ascii="Times New Roman" w:eastAsia="바탕" w:hAnsi="Times New Roman"/>
                <w:i/>
                <w:szCs w:val="20"/>
                <w:lang w:val="en-GB"/>
              </w:rPr>
              <w:t>Escherichia coli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0B90D48B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26 (9.8%)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E369FFA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14 (9.2%)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0A41E9A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12 (10.6%)</w:t>
            </w:r>
          </w:p>
        </w:tc>
      </w:tr>
      <w:tr w:rsidR="00085A6C" w:rsidRPr="00394C1C" w14:paraId="1D01AE16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756B2599" w14:textId="77777777" w:rsidR="00085A6C" w:rsidRPr="00394C1C" w:rsidRDefault="00085A6C" w:rsidP="00170997">
            <w:pPr>
              <w:snapToGrid w:val="0"/>
              <w:contextualSpacing/>
              <w:rPr>
                <w:bCs/>
                <w:sz w:val="21"/>
                <w:szCs w:val="21"/>
                <w:lang w:val="en-GB"/>
              </w:rPr>
            </w:pPr>
            <w:r w:rsidRPr="001F0581">
              <w:rPr>
                <w:rFonts w:ascii="Times New Roman" w:eastAsia="바탕" w:hAnsi="Times New Roman"/>
                <w:i/>
                <w:szCs w:val="20"/>
                <w:lang w:val="en-GB"/>
              </w:rPr>
              <w:t>Klebsiella pneumoniae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A8E6382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14 (5.3%)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38C2EB2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10 (6.6%)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3E82C8C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4 (3.5%)</w:t>
            </w:r>
          </w:p>
        </w:tc>
      </w:tr>
      <w:tr w:rsidR="00085A6C" w:rsidRPr="00394C1C" w14:paraId="316ADFF2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64803072" w14:textId="77777777" w:rsidR="00085A6C" w:rsidRPr="00394C1C" w:rsidRDefault="00085A6C" w:rsidP="00170997">
            <w:pPr>
              <w:snapToGrid w:val="0"/>
              <w:contextualSpacing/>
              <w:rPr>
                <w:bCs/>
                <w:sz w:val="21"/>
                <w:szCs w:val="21"/>
                <w:lang w:val="en-GB"/>
              </w:rPr>
            </w:pPr>
            <w:r w:rsidRPr="001F0581">
              <w:rPr>
                <w:rFonts w:ascii="Times New Roman" w:eastAsia="바탕" w:hAnsi="Times New Roman"/>
                <w:i/>
                <w:szCs w:val="20"/>
                <w:lang w:val="en-GB"/>
              </w:rPr>
              <w:t>Staphylococcus aureus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4CF76E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 xml:space="preserve">6 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(2.3%)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612696B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 xml:space="preserve">5 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(3.3%)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4B63095C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 xml:space="preserve">1 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(0.9%)</w:t>
            </w:r>
          </w:p>
        </w:tc>
      </w:tr>
      <w:tr w:rsidR="00085A6C" w:rsidRPr="00394C1C" w14:paraId="78A60058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6C1E125D" w14:textId="77777777" w:rsidR="00085A6C" w:rsidRPr="001F0581" w:rsidRDefault="00085A6C" w:rsidP="00170997">
            <w:pPr>
              <w:snapToGrid w:val="0"/>
              <w:contextualSpacing/>
              <w:rPr>
                <w:rFonts w:ascii="Times New Roman" w:eastAsia="바탕" w:hAnsi="Times New Roman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S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treptococcus pneumoniae</w:t>
            </w:r>
          </w:p>
        </w:tc>
        <w:tc>
          <w:tcPr>
            <w:tcW w:w="1980" w:type="dxa"/>
            <w:shd w:val="clear" w:color="auto" w:fill="auto"/>
            <w:noWrap/>
          </w:tcPr>
          <w:p w14:paraId="58B3769D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2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(0.8%)</w:t>
            </w:r>
          </w:p>
        </w:tc>
        <w:tc>
          <w:tcPr>
            <w:tcW w:w="1980" w:type="dxa"/>
            <w:shd w:val="clear" w:color="auto" w:fill="auto"/>
            <w:noWrap/>
          </w:tcPr>
          <w:p w14:paraId="77DA568C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2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(1.3%)</w:t>
            </w:r>
          </w:p>
        </w:tc>
        <w:tc>
          <w:tcPr>
            <w:tcW w:w="1980" w:type="dxa"/>
            <w:shd w:val="clear" w:color="auto" w:fill="auto"/>
            <w:noWrap/>
          </w:tcPr>
          <w:p w14:paraId="0E37402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16FD0FB4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136835CB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Bacillus species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FE4701C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9ADA0F7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(0.7%)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3504DF73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359D8D49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05502677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Enterobacter aerogenes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6EE04DF0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2E1ADE8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7D8DCDA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(0.9%)</w:t>
            </w:r>
          </w:p>
        </w:tc>
      </w:tr>
      <w:tr w:rsidR="00085A6C" w:rsidRPr="00394C1C" w14:paraId="376391D9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7841E72F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Enterobacter cloacae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134EE2B9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545C955E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(0.7%)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14:paraId="7EDB1FE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33AAEF5B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01DEFCD7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 w:hint="eastAsia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E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nterococcus faecium</w:t>
            </w:r>
          </w:p>
        </w:tc>
        <w:tc>
          <w:tcPr>
            <w:tcW w:w="1980" w:type="dxa"/>
            <w:shd w:val="clear" w:color="auto" w:fill="auto"/>
            <w:noWrap/>
          </w:tcPr>
          <w:p w14:paraId="629670C3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4070CC92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  <w:tc>
          <w:tcPr>
            <w:tcW w:w="1980" w:type="dxa"/>
            <w:shd w:val="clear" w:color="auto" w:fill="auto"/>
            <w:noWrap/>
          </w:tcPr>
          <w:p w14:paraId="4264E4D1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(0.9%)</w:t>
            </w:r>
          </w:p>
        </w:tc>
      </w:tr>
      <w:tr w:rsidR="00085A6C" w:rsidRPr="00394C1C" w14:paraId="723E50D1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3FAD5033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Listeria monocytogenes</w:t>
            </w:r>
          </w:p>
        </w:tc>
        <w:tc>
          <w:tcPr>
            <w:tcW w:w="1980" w:type="dxa"/>
            <w:shd w:val="clear" w:color="auto" w:fill="auto"/>
            <w:noWrap/>
          </w:tcPr>
          <w:p w14:paraId="76EA7BB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1C98BE06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  <w:tc>
          <w:tcPr>
            <w:tcW w:w="1980" w:type="dxa"/>
            <w:shd w:val="clear" w:color="auto" w:fill="auto"/>
            <w:noWrap/>
          </w:tcPr>
          <w:p w14:paraId="2ABEBBFB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(0.9%)</w:t>
            </w:r>
          </w:p>
        </w:tc>
      </w:tr>
      <w:tr w:rsidR="00085A6C" w:rsidRPr="00394C1C" w14:paraId="4C66E9FB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5BAF4A73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/>
                <w:i/>
                <w:szCs w:val="20"/>
                <w:lang w:val="en-GB"/>
              </w:rPr>
            </w:pPr>
            <w:proofErr w:type="spellStart"/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P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revotella</w:t>
            </w:r>
            <w:proofErr w:type="spellEnd"/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 xml:space="preserve"> </w:t>
            </w:r>
            <w:proofErr w:type="spellStart"/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buccae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14:paraId="6EC80699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0AB2203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  <w:tc>
          <w:tcPr>
            <w:tcW w:w="1980" w:type="dxa"/>
            <w:shd w:val="clear" w:color="auto" w:fill="auto"/>
            <w:noWrap/>
          </w:tcPr>
          <w:p w14:paraId="6E8A583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(0.9%)</w:t>
            </w:r>
          </w:p>
        </w:tc>
      </w:tr>
      <w:tr w:rsidR="00085A6C" w:rsidRPr="00394C1C" w14:paraId="16A78568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232B1E6C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P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roteus vulgaris</w:t>
            </w:r>
          </w:p>
        </w:tc>
        <w:tc>
          <w:tcPr>
            <w:tcW w:w="1980" w:type="dxa"/>
            <w:shd w:val="clear" w:color="auto" w:fill="auto"/>
            <w:noWrap/>
          </w:tcPr>
          <w:p w14:paraId="483ADFB7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15A53817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(0.7%)</w:t>
            </w:r>
          </w:p>
        </w:tc>
        <w:tc>
          <w:tcPr>
            <w:tcW w:w="1980" w:type="dxa"/>
            <w:shd w:val="clear" w:color="auto" w:fill="auto"/>
            <w:noWrap/>
          </w:tcPr>
          <w:p w14:paraId="7E657E34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03AAFA31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33B5ABA4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 w:hint="eastAsia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P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seudomonas aeruginosa</w:t>
            </w:r>
          </w:p>
        </w:tc>
        <w:tc>
          <w:tcPr>
            <w:tcW w:w="1980" w:type="dxa"/>
            <w:shd w:val="clear" w:color="auto" w:fill="auto"/>
            <w:noWrap/>
          </w:tcPr>
          <w:p w14:paraId="5B8689A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535B5B54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(0.7%)</w:t>
            </w:r>
          </w:p>
        </w:tc>
        <w:tc>
          <w:tcPr>
            <w:tcW w:w="1980" w:type="dxa"/>
            <w:shd w:val="clear" w:color="auto" w:fill="auto"/>
            <w:noWrap/>
          </w:tcPr>
          <w:p w14:paraId="72CB7DEE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4B89FC91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514CDE7A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 w:hint="eastAsia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S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taphylococcus intermedius</w:t>
            </w:r>
          </w:p>
        </w:tc>
        <w:tc>
          <w:tcPr>
            <w:tcW w:w="1980" w:type="dxa"/>
            <w:shd w:val="clear" w:color="auto" w:fill="auto"/>
            <w:noWrap/>
          </w:tcPr>
          <w:p w14:paraId="0CFFBC66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49EB52D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(0.7%)</w:t>
            </w:r>
          </w:p>
        </w:tc>
        <w:tc>
          <w:tcPr>
            <w:tcW w:w="1980" w:type="dxa"/>
            <w:shd w:val="clear" w:color="auto" w:fill="auto"/>
            <w:noWrap/>
          </w:tcPr>
          <w:p w14:paraId="63D7093B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08125007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07AB223E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 w:hint="eastAsia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S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 xml:space="preserve">treptococcus </w:t>
            </w:r>
            <w:proofErr w:type="spellStart"/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anginosus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14:paraId="4B4D56A6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71020BF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  <w:tc>
          <w:tcPr>
            <w:tcW w:w="1980" w:type="dxa"/>
            <w:shd w:val="clear" w:color="auto" w:fill="auto"/>
            <w:noWrap/>
          </w:tcPr>
          <w:p w14:paraId="769332D7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(0.9%)</w:t>
            </w:r>
          </w:p>
        </w:tc>
      </w:tr>
      <w:tr w:rsidR="00085A6C" w:rsidRPr="00394C1C" w14:paraId="3C6E0E57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4194E200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 w:hint="eastAsia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S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 xml:space="preserve">treptococcus </w:t>
            </w:r>
            <w:proofErr w:type="spellStart"/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dysgalactiae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14:paraId="07AF0274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5FFDD78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(0.7%)</w:t>
            </w:r>
          </w:p>
        </w:tc>
        <w:tc>
          <w:tcPr>
            <w:tcW w:w="1980" w:type="dxa"/>
            <w:shd w:val="clear" w:color="auto" w:fill="auto"/>
            <w:noWrap/>
          </w:tcPr>
          <w:p w14:paraId="2843645D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3E519137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6528EF2D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 w:hint="eastAsia"/>
                <w:i/>
                <w:szCs w:val="20"/>
                <w:lang w:val="en-GB"/>
              </w:rPr>
            </w:pPr>
            <w:proofErr w:type="spellStart"/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V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eillonella</w:t>
            </w:r>
            <w:proofErr w:type="spellEnd"/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 xml:space="preserve"> </w:t>
            </w:r>
            <w:proofErr w:type="spellStart"/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parvula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14:paraId="6E6C8DCD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5588E65C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(0.7%)</w:t>
            </w:r>
          </w:p>
        </w:tc>
        <w:tc>
          <w:tcPr>
            <w:tcW w:w="1980" w:type="dxa"/>
            <w:shd w:val="clear" w:color="auto" w:fill="auto"/>
            <w:noWrap/>
          </w:tcPr>
          <w:p w14:paraId="7FFA3F0B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  <w:tr w:rsidR="00085A6C" w:rsidRPr="00394C1C" w14:paraId="734312F2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5A3CCD83" w14:textId="77777777" w:rsidR="00085A6C" w:rsidRPr="001B2141" w:rsidRDefault="00085A6C" w:rsidP="00170997">
            <w:pPr>
              <w:snapToGrid w:val="0"/>
              <w:contextualSpacing/>
              <w:rPr>
                <w:rFonts w:ascii="Times New Roman" w:eastAsia="바탕" w:hAnsi="Times New Roman" w:hint="eastAsia"/>
                <w:i/>
                <w:szCs w:val="20"/>
                <w:lang w:val="en-GB"/>
              </w:rPr>
            </w:pPr>
            <w:r w:rsidRPr="001B2141">
              <w:rPr>
                <w:rFonts w:ascii="Times New Roman" w:eastAsia="바탕" w:hAnsi="Times New Roman" w:hint="eastAsia"/>
                <w:i/>
                <w:szCs w:val="20"/>
                <w:lang w:val="en-GB"/>
              </w:rPr>
              <w:t>V</w:t>
            </w:r>
            <w:r w:rsidRPr="001B2141">
              <w:rPr>
                <w:rFonts w:ascii="Times New Roman" w:eastAsia="바탕" w:hAnsi="Times New Roman"/>
                <w:i/>
                <w:szCs w:val="20"/>
                <w:lang w:val="en-GB"/>
              </w:rPr>
              <w:t>ibrio vulnificus</w:t>
            </w:r>
          </w:p>
        </w:tc>
        <w:tc>
          <w:tcPr>
            <w:tcW w:w="1980" w:type="dxa"/>
            <w:shd w:val="clear" w:color="auto" w:fill="auto"/>
            <w:noWrap/>
          </w:tcPr>
          <w:p w14:paraId="69A4EEF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(0.4%)</w:t>
            </w:r>
          </w:p>
        </w:tc>
        <w:tc>
          <w:tcPr>
            <w:tcW w:w="1980" w:type="dxa"/>
            <w:shd w:val="clear" w:color="auto" w:fill="auto"/>
            <w:noWrap/>
          </w:tcPr>
          <w:p w14:paraId="77701B12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  <w:tc>
          <w:tcPr>
            <w:tcW w:w="1980" w:type="dxa"/>
            <w:shd w:val="clear" w:color="auto" w:fill="auto"/>
            <w:noWrap/>
          </w:tcPr>
          <w:p w14:paraId="22CB7B3A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(0.9%)</w:t>
            </w:r>
          </w:p>
        </w:tc>
      </w:tr>
    </w:tbl>
    <w:p w14:paraId="07857FA8" w14:textId="77777777" w:rsidR="00085A6C" w:rsidRPr="00085A6C" w:rsidRDefault="00085A6C" w:rsidP="00085A6C">
      <w:pPr>
        <w:widowControl/>
        <w:wordWrap/>
        <w:autoSpaceDE/>
        <w:autoSpaceDN/>
        <w:snapToGrid w:val="0"/>
        <w:spacing w:after="0" w:line="240" w:lineRule="auto"/>
        <w:contextualSpacing/>
        <w:jc w:val="left"/>
        <w:rPr>
          <w:rFonts w:ascii="Times New Roman" w:eastAsia="Times New Roman" w:hAnsi="Times New Roman" w:cs="Times New Roman" w:hint="eastAsia"/>
          <w:bCs/>
          <w:kern w:val="0"/>
          <w:sz w:val="21"/>
          <w:szCs w:val="21"/>
          <w:lang w:val="en-GB" w:eastAsia="ko-Kore-KR"/>
        </w:rPr>
      </w:pPr>
      <w:r w:rsidRPr="00085A6C">
        <w:rPr>
          <w:rFonts w:ascii="Times New Roman" w:eastAsia="Times New Roman" w:hAnsi="Times New Roman" w:cs="Times New Roman" w:hint="eastAsia"/>
          <w:bCs/>
          <w:kern w:val="0"/>
          <w:sz w:val="21"/>
          <w:szCs w:val="21"/>
          <w:lang w:val="en-GB" w:eastAsia="ko-Kore-KR"/>
        </w:rPr>
        <w:t>C</w:t>
      </w:r>
      <w:r w:rsidRPr="00085A6C">
        <w:rPr>
          <w:rFonts w:ascii="Times New Roman" w:eastAsia="Times New Roman" w:hAnsi="Times New Roman" w:cs="Times New Roman"/>
          <w:bCs/>
          <w:kern w:val="0"/>
          <w:sz w:val="21"/>
          <w:szCs w:val="21"/>
          <w:lang w:val="en-GB" w:eastAsia="ko-Kore-KR"/>
        </w:rPr>
        <w:t>DSS, clinical decision support system</w:t>
      </w:r>
      <w:r>
        <w:rPr>
          <w:rFonts w:ascii="Times New Roman" w:eastAsia="Times New Roman" w:hAnsi="Times New Roman" w:cs="Times New Roman"/>
          <w:bCs/>
          <w:kern w:val="0"/>
          <w:sz w:val="21"/>
          <w:szCs w:val="21"/>
          <w:lang w:val="en-GB" w:eastAsia="ko-Kore-KR"/>
        </w:rPr>
        <w:t>.</w:t>
      </w:r>
    </w:p>
    <w:p w14:paraId="6F3AB490" w14:textId="77777777" w:rsidR="00085A6C" w:rsidRPr="00085A6C" w:rsidRDefault="00085A6C" w:rsidP="00085A6C">
      <w:pPr>
        <w:spacing w:line="480" w:lineRule="auto"/>
        <w:rPr>
          <w:rFonts w:ascii="Arial" w:hAnsi="Arial" w:cs="Arial" w:hint="eastAsia"/>
          <w:b/>
          <w:color w:val="44546A" w:themeColor="text2"/>
          <w:szCs w:val="20"/>
          <w:lang w:val="en-GB"/>
        </w:rPr>
      </w:pPr>
    </w:p>
    <w:p w14:paraId="679933BA" w14:textId="0FC93B88" w:rsidR="00085A6C" w:rsidRDefault="00085A6C">
      <w:r>
        <w:br w:type="page"/>
      </w:r>
    </w:p>
    <w:p w14:paraId="3718BFB9" w14:textId="77777777" w:rsidR="00085A6C" w:rsidRPr="001B2141" w:rsidRDefault="00085A6C" w:rsidP="00085A6C">
      <w:pPr>
        <w:widowControl/>
        <w:wordWrap/>
        <w:autoSpaceDE/>
        <w:autoSpaceDN/>
        <w:snapToGrid w:val="0"/>
        <w:spacing w:after="0" w:line="240" w:lineRule="auto"/>
        <w:contextualSpacing/>
        <w:jc w:val="left"/>
        <w:rPr>
          <w:rFonts w:ascii="Times New Roman" w:eastAsia="Times New Roman" w:hAnsi="Times New Roman" w:cs="Times New Roman"/>
          <w:kern w:val="0"/>
          <w:sz w:val="21"/>
          <w:szCs w:val="21"/>
          <w:lang w:val="en-GB" w:eastAsia="ko-Kore-KR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:lang w:val="en-GB" w:eastAsia="ko-Kore-KR"/>
        </w:rPr>
        <w:lastRenderedPageBreak/>
        <w:t xml:space="preserve">Supplement </w:t>
      </w:r>
      <w:r w:rsidRPr="001B2141">
        <w:rPr>
          <w:rFonts w:ascii="Times New Roman" w:eastAsia="Times New Roman" w:hAnsi="Times New Roman" w:cs="Times New Roman"/>
          <w:kern w:val="0"/>
          <w:sz w:val="21"/>
          <w:szCs w:val="21"/>
          <w:lang w:val="en-GB" w:eastAsia="ko-Kore-KR"/>
        </w:rPr>
        <w:t xml:space="preserve">Table 2. </w:t>
      </w:r>
      <w:r>
        <w:rPr>
          <w:rFonts w:ascii="Times New Roman" w:eastAsia="Times New Roman" w:hAnsi="Times New Roman" w:cs="Times New Roman"/>
          <w:kern w:val="0"/>
          <w:sz w:val="21"/>
          <w:szCs w:val="21"/>
          <w:lang w:val="en-GB" w:eastAsia="ko-Kore-KR"/>
        </w:rPr>
        <w:t>The administered antibiotics in our study patients during emergency department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9"/>
        <w:gridCol w:w="2027"/>
        <w:gridCol w:w="2027"/>
        <w:gridCol w:w="2028"/>
      </w:tblGrid>
      <w:tr w:rsidR="00085A6C" w:rsidRPr="001B2141" w14:paraId="13B552EC" w14:textId="77777777" w:rsidTr="00170997">
        <w:trPr>
          <w:trHeight w:val="380"/>
        </w:trPr>
        <w:tc>
          <w:tcPr>
            <w:tcW w:w="2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7FE304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eastAsia="ko-Kore-KR"/>
              </w:rPr>
              <w:t>Antibiotics</w:t>
            </w: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34DCE2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Overall (n=2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5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5)</w:t>
            </w:r>
          </w:p>
        </w:tc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0A8810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CDSS group (n=1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44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)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12D65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Control group (n=11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</w:t>
            </w:r>
            <w:r w:rsidRPr="001B2141"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)</w:t>
            </w:r>
          </w:p>
        </w:tc>
      </w:tr>
      <w:tr w:rsidR="00085A6C" w:rsidRPr="001B2141" w14:paraId="49EC3D98" w14:textId="77777777" w:rsidTr="00170997">
        <w:trPr>
          <w:trHeight w:val="360"/>
        </w:trPr>
        <w:tc>
          <w:tcPr>
            <w:tcW w:w="284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E3AEB9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iperacillin/tazobactam</w:t>
            </w:r>
          </w:p>
        </w:tc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56DFBF8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6 (33.7%)</w:t>
            </w:r>
          </w:p>
        </w:tc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7681E55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4 (37.5%)</w:t>
            </w:r>
          </w:p>
        </w:tc>
        <w:tc>
          <w:tcPr>
            <w:tcW w:w="2028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0605010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2 (28.8%)</w:t>
            </w:r>
          </w:p>
        </w:tc>
      </w:tr>
      <w:tr w:rsidR="00085A6C" w:rsidRPr="001B2141" w14:paraId="39DD5A29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0703CA83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Ceftriaxone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377CB259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54 (21.2%)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45D2C0F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36 (25.0%)</w:t>
            </w:r>
          </w:p>
        </w:tc>
        <w:tc>
          <w:tcPr>
            <w:tcW w:w="2028" w:type="dxa"/>
            <w:shd w:val="clear" w:color="auto" w:fill="auto"/>
            <w:noWrap/>
            <w:hideMark/>
          </w:tcPr>
          <w:p w14:paraId="4142C71C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18 (16.2%)</w:t>
            </w:r>
          </w:p>
        </w:tc>
      </w:tr>
      <w:tr w:rsidR="00085A6C" w:rsidRPr="001B2141" w14:paraId="31431ABF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7BD89A54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Cefotaxime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3FA574A3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36 (14.1%)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49786F40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17 (11.8%)</w:t>
            </w:r>
          </w:p>
        </w:tc>
        <w:tc>
          <w:tcPr>
            <w:tcW w:w="2028" w:type="dxa"/>
            <w:shd w:val="clear" w:color="auto" w:fill="auto"/>
            <w:noWrap/>
            <w:hideMark/>
          </w:tcPr>
          <w:p w14:paraId="2C50C284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19 (17.1%)</w:t>
            </w:r>
          </w:p>
        </w:tc>
      </w:tr>
      <w:tr w:rsidR="00085A6C" w:rsidRPr="001B2141" w14:paraId="288E854A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7665CE3A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Meropenem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3AA573CB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4 (13.3%)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7857FBCC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 (14.6%)</w:t>
            </w:r>
          </w:p>
        </w:tc>
        <w:tc>
          <w:tcPr>
            <w:tcW w:w="2028" w:type="dxa"/>
            <w:shd w:val="clear" w:color="auto" w:fill="auto"/>
            <w:noWrap/>
            <w:hideMark/>
          </w:tcPr>
          <w:p w14:paraId="6263C522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3 (11.7%)</w:t>
            </w:r>
          </w:p>
        </w:tc>
      </w:tr>
      <w:tr w:rsidR="00085A6C" w:rsidRPr="001B2141" w14:paraId="076720A5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7E9C3CD9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Levofloxacin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4AD75049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15 (5.9%)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412FD94F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  <w:tc>
          <w:tcPr>
            <w:tcW w:w="2028" w:type="dxa"/>
            <w:shd w:val="clear" w:color="auto" w:fill="auto"/>
            <w:noWrap/>
            <w:hideMark/>
          </w:tcPr>
          <w:p w14:paraId="63B08EE7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15 (13.5%)</w:t>
            </w:r>
          </w:p>
        </w:tc>
      </w:tr>
      <w:tr w:rsidR="00085A6C" w:rsidRPr="001B2141" w14:paraId="46640607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  <w:hideMark/>
          </w:tcPr>
          <w:p w14:paraId="1A5BFC90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Ampicillin/sulbactam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55F4D0A4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12 (4.7%)</w:t>
            </w:r>
          </w:p>
        </w:tc>
        <w:tc>
          <w:tcPr>
            <w:tcW w:w="2027" w:type="dxa"/>
            <w:shd w:val="clear" w:color="auto" w:fill="auto"/>
            <w:noWrap/>
            <w:hideMark/>
          </w:tcPr>
          <w:p w14:paraId="2BF5037D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6 (4.2%)</w:t>
            </w:r>
          </w:p>
        </w:tc>
        <w:tc>
          <w:tcPr>
            <w:tcW w:w="2028" w:type="dxa"/>
            <w:shd w:val="clear" w:color="auto" w:fill="auto"/>
            <w:noWrap/>
            <w:hideMark/>
          </w:tcPr>
          <w:p w14:paraId="71939911" w14:textId="77777777" w:rsidR="00085A6C" w:rsidRPr="001B2141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6 (5.4%)</w:t>
            </w:r>
          </w:p>
        </w:tc>
      </w:tr>
      <w:tr w:rsidR="00085A6C" w:rsidRPr="001B2141" w14:paraId="34F461B2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06482745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iprofloxacin</w:t>
            </w:r>
          </w:p>
        </w:tc>
        <w:tc>
          <w:tcPr>
            <w:tcW w:w="2027" w:type="dxa"/>
            <w:shd w:val="clear" w:color="auto" w:fill="auto"/>
            <w:noWrap/>
          </w:tcPr>
          <w:p w14:paraId="191724B0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(3.1%)</w:t>
            </w:r>
          </w:p>
        </w:tc>
        <w:tc>
          <w:tcPr>
            <w:tcW w:w="2027" w:type="dxa"/>
            <w:shd w:val="clear" w:color="auto" w:fill="auto"/>
            <w:noWrap/>
          </w:tcPr>
          <w:p w14:paraId="27E72445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(4.2%)</w:t>
            </w:r>
          </w:p>
        </w:tc>
        <w:tc>
          <w:tcPr>
            <w:tcW w:w="2028" w:type="dxa"/>
            <w:shd w:val="clear" w:color="auto" w:fill="auto"/>
            <w:noWrap/>
          </w:tcPr>
          <w:p w14:paraId="6967249C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(1.8%)</w:t>
            </w:r>
          </w:p>
        </w:tc>
      </w:tr>
      <w:tr w:rsidR="00085A6C" w:rsidRPr="001B2141" w14:paraId="537DC054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1E54A828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efazolin</w:t>
            </w:r>
          </w:p>
        </w:tc>
        <w:tc>
          <w:tcPr>
            <w:tcW w:w="2027" w:type="dxa"/>
            <w:shd w:val="clear" w:color="auto" w:fill="auto"/>
            <w:noWrap/>
          </w:tcPr>
          <w:p w14:paraId="30C3CCBE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(2.0%)</w:t>
            </w:r>
          </w:p>
        </w:tc>
        <w:tc>
          <w:tcPr>
            <w:tcW w:w="2027" w:type="dxa"/>
            <w:shd w:val="clear" w:color="auto" w:fill="auto"/>
            <w:noWrap/>
          </w:tcPr>
          <w:p w14:paraId="62925011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(1.4%)</w:t>
            </w:r>
          </w:p>
        </w:tc>
        <w:tc>
          <w:tcPr>
            <w:tcW w:w="2028" w:type="dxa"/>
            <w:shd w:val="clear" w:color="auto" w:fill="auto"/>
            <w:noWrap/>
          </w:tcPr>
          <w:p w14:paraId="22167B1D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(2.7%)</w:t>
            </w:r>
          </w:p>
        </w:tc>
      </w:tr>
      <w:tr w:rsidR="00085A6C" w:rsidRPr="001B2141" w14:paraId="717ED923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1A484A95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M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etronidazole</w:t>
            </w:r>
          </w:p>
        </w:tc>
        <w:tc>
          <w:tcPr>
            <w:tcW w:w="2027" w:type="dxa"/>
            <w:shd w:val="clear" w:color="auto" w:fill="auto"/>
            <w:noWrap/>
          </w:tcPr>
          <w:p w14:paraId="6261F777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(1.6%)</w:t>
            </w:r>
          </w:p>
        </w:tc>
        <w:tc>
          <w:tcPr>
            <w:tcW w:w="2027" w:type="dxa"/>
            <w:shd w:val="clear" w:color="auto" w:fill="auto"/>
            <w:noWrap/>
          </w:tcPr>
          <w:p w14:paraId="635F790E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(0.7%)</w:t>
            </w:r>
          </w:p>
        </w:tc>
        <w:tc>
          <w:tcPr>
            <w:tcW w:w="2028" w:type="dxa"/>
            <w:shd w:val="clear" w:color="auto" w:fill="auto"/>
            <w:noWrap/>
          </w:tcPr>
          <w:p w14:paraId="60B3EC58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(2.7%)</w:t>
            </w:r>
          </w:p>
        </w:tc>
      </w:tr>
      <w:tr w:rsidR="00085A6C" w:rsidRPr="00085A6C" w14:paraId="01BE8782" w14:textId="77777777" w:rsidTr="00170997">
        <w:trPr>
          <w:trHeight w:val="360"/>
        </w:trPr>
        <w:tc>
          <w:tcPr>
            <w:tcW w:w="2849" w:type="dxa"/>
            <w:shd w:val="clear" w:color="auto" w:fill="auto"/>
            <w:noWrap/>
          </w:tcPr>
          <w:p w14:paraId="2A5D0682" w14:textId="77777777" w:rsidR="00085A6C" w:rsidRDefault="00085A6C" w:rsidP="00170997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left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Cefepime</w:t>
            </w:r>
          </w:p>
        </w:tc>
        <w:tc>
          <w:tcPr>
            <w:tcW w:w="2027" w:type="dxa"/>
            <w:shd w:val="clear" w:color="auto" w:fill="auto"/>
            <w:noWrap/>
          </w:tcPr>
          <w:p w14:paraId="4DCF6731" w14:textId="77777777" w:rsidR="00085A6C" w:rsidRDefault="00085A6C" w:rsidP="00085A6C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(0.4%)</w:t>
            </w:r>
          </w:p>
        </w:tc>
        <w:tc>
          <w:tcPr>
            <w:tcW w:w="2027" w:type="dxa"/>
            <w:shd w:val="clear" w:color="auto" w:fill="auto"/>
            <w:noWrap/>
          </w:tcPr>
          <w:p w14:paraId="28B6A4F5" w14:textId="77777777" w:rsidR="00085A6C" w:rsidRDefault="00085A6C" w:rsidP="00085A6C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 xml:space="preserve"> (0.7%)</w:t>
            </w:r>
          </w:p>
        </w:tc>
        <w:tc>
          <w:tcPr>
            <w:tcW w:w="2028" w:type="dxa"/>
            <w:shd w:val="clear" w:color="auto" w:fill="auto"/>
            <w:noWrap/>
          </w:tcPr>
          <w:p w14:paraId="01E322E6" w14:textId="77777777" w:rsidR="00085A6C" w:rsidRDefault="00085A6C" w:rsidP="00085A6C">
            <w:pPr>
              <w:widowControl/>
              <w:wordWrap/>
              <w:autoSpaceDE/>
              <w:autoSpaceDN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 w:hint="eastAsia"/>
                <w:bCs/>
                <w:kern w:val="0"/>
                <w:sz w:val="21"/>
                <w:szCs w:val="21"/>
                <w:lang w:val="en-GB" w:eastAsia="ko-Kore-KR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1"/>
                <w:szCs w:val="21"/>
                <w:lang w:val="en-GB" w:eastAsia="ko-Kore-KR"/>
              </w:rPr>
              <w:t>0 (0%)</w:t>
            </w:r>
          </w:p>
        </w:tc>
      </w:tr>
    </w:tbl>
    <w:p w14:paraId="05613151" w14:textId="798A5DFA" w:rsidR="00085A6C" w:rsidRPr="00085A6C" w:rsidRDefault="00085A6C" w:rsidP="00085A6C">
      <w:pPr>
        <w:widowControl/>
        <w:wordWrap/>
        <w:autoSpaceDE/>
        <w:autoSpaceDN/>
        <w:snapToGrid w:val="0"/>
        <w:spacing w:after="0" w:line="240" w:lineRule="auto"/>
        <w:contextualSpacing/>
        <w:jc w:val="left"/>
        <w:rPr>
          <w:rFonts w:ascii="Times New Roman" w:eastAsia="Times New Roman" w:hAnsi="Times New Roman" w:cs="Times New Roman" w:hint="eastAsia"/>
          <w:bCs/>
          <w:kern w:val="0"/>
          <w:sz w:val="21"/>
          <w:szCs w:val="21"/>
          <w:lang w:val="en-GB" w:eastAsia="ko-Kore-KR"/>
        </w:rPr>
      </w:pPr>
      <w:r w:rsidRPr="00085A6C">
        <w:rPr>
          <w:rFonts w:ascii="Times New Roman" w:eastAsia="Times New Roman" w:hAnsi="Times New Roman" w:cs="Times New Roman" w:hint="eastAsia"/>
          <w:bCs/>
          <w:kern w:val="0"/>
          <w:sz w:val="21"/>
          <w:szCs w:val="21"/>
          <w:lang w:val="en-GB" w:eastAsia="ko-Kore-KR"/>
        </w:rPr>
        <w:t>C</w:t>
      </w:r>
      <w:r w:rsidRPr="00085A6C">
        <w:rPr>
          <w:rFonts w:ascii="Times New Roman" w:eastAsia="Times New Roman" w:hAnsi="Times New Roman" w:cs="Times New Roman"/>
          <w:bCs/>
          <w:kern w:val="0"/>
          <w:sz w:val="21"/>
          <w:szCs w:val="21"/>
          <w:lang w:val="en-GB" w:eastAsia="ko-Kore-KR"/>
        </w:rPr>
        <w:t xml:space="preserve">DSS, </w:t>
      </w:r>
      <w:r w:rsidRPr="00085A6C">
        <w:rPr>
          <w:rFonts w:ascii="Times New Roman" w:eastAsia="Times New Roman" w:hAnsi="Times New Roman" w:cs="Times New Roman"/>
          <w:bCs/>
          <w:kern w:val="0"/>
          <w:sz w:val="21"/>
          <w:szCs w:val="21"/>
          <w:lang w:val="en-GB" w:eastAsia="ko-Kore-KR"/>
        </w:rPr>
        <w:t>clinical decision support system</w:t>
      </w:r>
      <w:r>
        <w:rPr>
          <w:rFonts w:ascii="Times New Roman" w:eastAsia="Times New Roman" w:hAnsi="Times New Roman" w:cs="Times New Roman"/>
          <w:bCs/>
          <w:kern w:val="0"/>
          <w:sz w:val="21"/>
          <w:szCs w:val="21"/>
          <w:lang w:val="en-GB" w:eastAsia="ko-Kore-KR"/>
        </w:rPr>
        <w:t>.</w:t>
      </w:r>
    </w:p>
    <w:p w14:paraId="35FD90B2" w14:textId="77777777" w:rsidR="00AE7FBD" w:rsidRDefault="00AE7FBD"/>
    <w:sectPr w:rsidR="00AE7FBD"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A6C"/>
    <w:rsid w:val="00085A6C"/>
    <w:rsid w:val="000D153E"/>
    <w:rsid w:val="00113540"/>
    <w:rsid w:val="001470AA"/>
    <w:rsid w:val="00156DF4"/>
    <w:rsid w:val="002374D7"/>
    <w:rsid w:val="00292BF1"/>
    <w:rsid w:val="002A01D4"/>
    <w:rsid w:val="002C73CD"/>
    <w:rsid w:val="003376A2"/>
    <w:rsid w:val="003A3291"/>
    <w:rsid w:val="004B122D"/>
    <w:rsid w:val="0051301D"/>
    <w:rsid w:val="006509E6"/>
    <w:rsid w:val="00690E05"/>
    <w:rsid w:val="0071078C"/>
    <w:rsid w:val="00920BAE"/>
    <w:rsid w:val="00932F9B"/>
    <w:rsid w:val="009F248E"/>
    <w:rsid w:val="00A15C6B"/>
    <w:rsid w:val="00A91542"/>
    <w:rsid w:val="00AE7FBD"/>
    <w:rsid w:val="00B21536"/>
    <w:rsid w:val="00B85D38"/>
    <w:rsid w:val="00BE2345"/>
    <w:rsid w:val="00C03662"/>
    <w:rsid w:val="00C11038"/>
    <w:rsid w:val="00C91402"/>
    <w:rsid w:val="00CC0677"/>
    <w:rsid w:val="00D751A2"/>
    <w:rsid w:val="00DD4C27"/>
    <w:rsid w:val="00EF4C9A"/>
    <w:rsid w:val="00EF5C97"/>
    <w:rsid w:val="00F0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0B8549"/>
  <w15:chartTrackingRefBased/>
  <w15:docId w15:val="{8093638D-B6D1-ED44-A565-2E5B0003F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4"/>
        <w:lang w:val="en-US" w:eastAsia="ko-Kore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A6C"/>
    <w:pPr>
      <w:widowControl w:val="0"/>
      <w:wordWrap w:val="0"/>
      <w:autoSpaceDE w:val="0"/>
      <w:autoSpaceDN w:val="0"/>
      <w:spacing w:after="200" w:line="276" w:lineRule="auto"/>
    </w:pPr>
    <w:rPr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김윤정</dc:creator>
  <cp:keywords/>
  <dc:description/>
  <cp:lastModifiedBy>김윤정</cp:lastModifiedBy>
  <cp:revision>1</cp:revision>
  <dcterms:created xsi:type="dcterms:W3CDTF">2021-03-09T14:08:00Z</dcterms:created>
  <dcterms:modified xsi:type="dcterms:W3CDTF">2021-03-09T14:10:00Z</dcterms:modified>
</cp:coreProperties>
</file>